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84C3E" w14:textId="66F0257A" w:rsidR="003900AB" w:rsidRPr="001D78B0" w:rsidRDefault="00A35123" w:rsidP="00B2631D">
      <w:pPr>
        <w:spacing w:after="480"/>
        <w:jc w:val="center"/>
        <w:rPr>
          <w:rFonts w:ascii="Arial Nova Light" w:hAnsi="Arial Nova Light"/>
          <w:b/>
          <w:bCs/>
          <w:sz w:val="28"/>
          <w:szCs w:val="28"/>
        </w:rPr>
      </w:pPr>
      <w:bookmarkStart w:id="0" w:name="_GoBack"/>
      <w:bookmarkEnd w:id="0"/>
      <w:r>
        <w:rPr>
          <w:rFonts w:ascii="Arial Nova Light" w:hAnsi="Arial Nova Light"/>
          <w:b/>
          <w:bCs/>
          <w:sz w:val="28"/>
          <w:szCs w:val="28"/>
        </w:rPr>
        <w:t>W</w:t>
      </w:r>
      <w:r w:rsidR="00866FBA" w:rsidRPr="001D78B0">
        <w:rPr>
          <w:rFonts w:ascii="Arial Nova Light" w:hAnsi="Arial Nova Light"/>
          <w:b/>
          <w:bCs/>
          <w:sz w:val="28"/>
          <w:szCs w:val="28"/>
        </w:rPr>
        <w:t>pływ wybranych czynników na</w:t>
      </w:r>
      <w:r>
        <w:rPr>
          <w:rFonts w:ascii="Arial Nova Light" w:hAnsi="Arial Nova Light"/>
          <w:b/>
          <w:bCs/>
          <w:sz w:val="28"/>
          <w:szCs w:val="28"/>
        </w:rPr>
        <w:t xml:space="preserve"> skuteczność</w:t>
      </w:r>
      <w:r w:rsidR="00866FBA" w:rsidRPr="001D78B0">
        <w:rPr>
          <w:rFonts w:ascii="Arial Nova Light" w:hAnsi="Arial Nova Light"/>
          <w:b/>
          <w:bCs/>
          <w:sz w:val="28"/>
          <w:szCs w:val="28"/>
        </w:rPr>
        <w:t xml:space="preserve"> rozdrabniania </w:t>
      </w:r>
      <w:r>
        <w:rPr>
          <w:rFonts w:ascii="Arial Nova Light" w:hAnsi="Arial Nova Light"/>
          <w:b/>
          <w:bCs/>
          <w:sz w:val="28"/>
          <w:szCs w:val="28"/>
        </w:rPr>
        <w:t xml:space="preserve">uziarnionej biomasy </w:t>
      </w:r>
      <w:r w:rsidR="00866FBA" w:rsidRPr="001D78B0">
        <w:rPr>
          <w:rFonts w:ascii="Arial Nova Light" w:hAnsi="Arial Nova Light"/>
          <w:b/>
          <w:bCs/>
          <w:sz w:val="28"/>
          <w:szCs w:val="28"/>
        </w:rPr>
        <w:t xml:space="preserve">w </w:t>
      </w:r>
      <w:r>
        <w:rPr>
          <w:rFonts w:ascii="Arial Nova Light" w:hAnsi="Arial Nova Light"/>
          <w:b/>
          <w:bCs/>
          <w:sz w:val="28"/>
          <w:szCs w:val="28"/>
        </w:rPr>
        <w:t>gospodarce zrównoważonej</w:t>
      </w:r>
    </w:p>
    <w:p w14:paraId="27063404" w14:textId="1D54FD09" w:rsidR="00866FBA" w:rsidRPr="001D78B0" w:rsidRDefault="00866FBA" w:rsidP="00B2631D">
      <w:pPr>
        <w:spacing w:after="60"/>
        <w:rPr>
          <w:rFonts w:ascii="Arial Nova Light" w:hAnsi="Arial Nova Light"/>
          <w:sz w:val="24"/>
          <w:szCs w:val="24"/>
        </w:rPr>
      </w:pPr>
      <w:r w:rsidRPr="001D78B0">
        <w:rPr>
          <w:rFonts w:ascii="Arial Nova Light" w:hAnsi="Arial Nova Light"/>
          <w:sz w:val="24"/>
          <w:szCs w:val="24"/>
        </w:rPr>
        <w:t>dr inż. Weronika Kruszelnicka</w:t>
      </w:r>
    </w:p>
    <w:p w14:paraId="1B474D03" w14:textId="1F6028F6" w:rsidR="00866FBA" w:rsidRPr="00B2631D" w:rsidRDefault="00866FBA" w:rsidP="00AD13F6">
      <w:pPr>
        <w:spacing w:after="360"/>
        <w:rPr>
          <w:rFonts w:ascii="Arial Nova Light" w:hAnsi="Arial Nova Light"/>
          <w:sz w:val="18"/>
          <w:szCs w:val="18"/>
        </w:rPr>
      </w:pPr>
      <w:r w:rsidRPr="00B2631D">
        <w:rPr>
          <w:rFonts w:ascii="Arial Nova Light" w:hAnsi="Arial Nova Light"/>
          <w:sz w:val="18"/>
          <w:szCs w:val="18"/>
        </w:rPr>
        <w:t xml:space="preserve">Katedra </w:t>
      </w:r>
      <w:r w:rsidR="001D78B0">
        <w:rPr>
          <w:rFonts w:ascii="Arial Nova Light" w:hAnsi="Arial Nova Light"/>
          <w:sz w:val="18"/>
          <w:szCs w:val="18"/>
        </w:rPr>
        <w:t>I</w:t>
      </w:r>
      <w:r w:rsidRPr="00B2631D">
        <w:rPr>
          <w:rFonts w:ascii="Arial Nova Light" w:hAnsi="Arial Nova Light"/>
          <w:sz w:val="18"/>
          <w:szCs w:val="18"/>
        </w:rPr>
        <w:t xml:space="preserve">nżynierii </w:t>
      </w:r>
      <w:r w:rsidR="001D78B0">
        <w:rPr>
          <w:rFonts w:ascii="Arial Nova Light" w:hAnsi="Arial Nova Light"/>
          <w:sz w:val="18"/>
          <w:szCs w:val="18"/>
        </w:rPr>
        <w:t>O</w:t>
      </w:r>
      <w:r w:rsidRPr="00B2631D">
        <w:rPr>
          <w:rFonts w:ascii="Arial Nova Light" w:hAnsi="Arial Nova Light"/>
          <w:sz w:val="18"/>
          <w:szCs w:val="18"/>
        </w:rPr>
        <w:t xml:space="preserve">dnawialnych </w:t>
      </w:r>
      <w:r w:rsidR="001D78B0">
        <w:rPr>
          <w:rFonts w:ascii="Arial Nova Light" w:hAnsi="Arial Nova Light"/>
          <w:sz w:val="18"/>
          <w:szCs w:val="18"/>
        </w:rPr>
        <w:t>Ź</w:t>
      </w:r>
      <w:r w:rsidRPr="00B2631D">
        <w:rPr>
          <w:rFonts w:ascii="Arial Nova Light" w:hAnsi="Arial Nova Light"/>
          <w:sz w:val="18"/>
          <w:szCs w:val="18"/>
        </w:rPr>
        <w:t xml:space="preserve">ródeł </w:t>
      </w:r>
      <w:r w:rsidR="001D78B0">
        <w:rPr>
          <w:rFonts w:ascii="Arial Nova Light" w:hAnsi="Arial Nova Light"/>
          <w:sz w:val="18"/>
          <w:szCs w:val="18"/>
        </w:rPr>
        <w:t>E</w:t>
      </w:r>
      <w:r w:rsidRPr="00B2631D">
        <w:rPr>
          <w:rFonts w:ascii="Arial Nova Light" w:hAnsi="Arial Nova Light"/>
          <w:sz w:val="18"/>
          <w:szCs w:val="18"/>
        </w:rPr>
        <w:t>nergii</w:t>
      </w:r>
      <w:r w:rsidR="001D78B0">
        <w:rPr>
          <w:rFonts w:ascii="Arial Nova Light" w:hAnsi="Arial Nova Light"/>
          <w:sz w:val="18"/>
          <w:szCs w:val="18"/>
        </w:rPr>
        <w:t xml:space="preserve"> i Systemów Technicznych</w:t>
      </w:r>
      <w:r w:rsidRPr="00B2631D">
        <w:rPr>
          <w:rFonts w:ascii="Arial Nova Light" w:hAnsi="Arial Nova Light"/>
          <w:sz w:val="18"/>
          <w:szCs w:val="18"/>
        </w:rPr>
        <w:t>, Wydział inżynierii Mechanicznej, Politechnika Bydgoska im. J. J. Śniadeckich, Al. Prof. S. Kaliskiego 7, 85-796 Bydgoszcz</w:t>
      </w:r>
    </w:p>
    <w:p w14:paraId="6E79AA5E" w14:textId="7E34B501" w:rsidR="00153535" w:rsidRDefault="001D78B0" w:rsidP="00153535">
      <w:pPr>
        <w:jc w:val="both"/>
        <w:rPr>
          <w:rFonts w:ascii="Arial Nova Light" w:hAnsi="Arial Nova Light"/>
        </w:rPr>
      </w:pPr>
      <w:r w:rsidRPr="00153535">
        <w:rPr>
          <w:rFonts w:ascii="Arial Nova Light" w:hAnsi="Arial Nova Light"/>
        </w:rPr>
        <w:t>Rokrocznie na świecie przetwarza się miliony ton ziaren zbóż</w:t>
      </w:r>
      <w:r w:rsidR="00291C44" w:rsidRPr="00153535">
        <w:rPr>
          <w:rFonts w:ascii="Arial Nova Light" w:hAnsi="Arial Nova Light"/>
        </w:rPr>
        <w:t>. Wg szacunków USDA w sezonie 2023/2024 łączne zbiory zbóż to ok. 2281 mln ton</w:t>
      </w:r>
      <w:r w:rsidR="00986600">
        <w:rPr>
          <w:rFonts w:ascii="Arial Nova Light" w:hAnsi="Arial Nova Light"/>
        </w:rPr>
        <w:fldChar w:fldCharType="begin"/>
      </w:r>
      <w:r w:rsidR="00986600">
        <w:rPr>
          <w:rFonts w:ascii="Arial Nova Light" w:hAnsi="Arial Nova Light"/>
        </w:rPr>
        <w:instrText xml:space="preserve"> ADDIN ZOTERO_ITEM CSL_CITATION {"citationID":"uVEwEvna","properties":{"formattedCitation":"\\super 1\\nosupersub{}","plainCitation":"1","noteIndex":0},"citationItems":[{"id":20837,"uris":["http://zotero.org/users/4502582/items/LSNDYSGB"],"itemData":{"id":20837,"type":"webpage","title":"Globalny rynek zbóż i nasion oleistych - listopad 2023 – Agronomist","URL":"https://agronomist.pl/artykuly/globalny-rynek-zboz-i-nasion-oleistych-listopad-2023","accessed":{"date-parts":[["2024",3,20]]}}}],"schema":"https://github.com/citation-style-language/schema/raw/master/csl-citation.json"} </w:instrText>
      </w:r>
      <w:r w:rsidR="00986600">
        <w:rPr>
          <w:rFonts w:ascii="Arial Nova Light" w:hAnsi="Arial Nova Light"/>
        </w:rPr>
        <w:fldChar w:fldCharType="separate"/>
      </w:r>
      <w:r w:rsidR="00986600" w:rsidRPr="00986600">
        <w:rPr>
          <w:rFonts w:ascii="Arial Nova Light" w:hAnsi="Arial Nova Light" w:cs="Times New Roman"/>
          <w:kern w:val="0"/>
          <w:vertAlign w:val="superscript"/>
        </w:rPr>
        <w:t>1</w:t>
      </w:r>
      <w:r w:rsidR="00986600">
        <w:rPr>
          <w:rFonts w:ascii="Arial Nova Light" w:hAnsi="Arial Nova Light"/>
        </w:rPr>
        <w:fldChar w:fldCharType="end"/>
      </w:r>
      <w:r w:rsidR="00291C44" w:rsidRPr="00153535">
        <w:rPr>
          <w:rFonts w:ascii="Arial Nova Light" w:hAnsi="Arial Nova Light"/>
        </w:rPr>
        <w:t>.</w:t>
      </w:r>
      <w:r w:rsidR="00291C44" w:rsidRPr="00153535">
        <w:rPr>
          <w:rFonts w:ascii="Arial Nova Light" w:hAnsi="Arial Nova Light" w:cs="Arial"/>
          <w:color w:val="212529"/>
          <w:shd w:val="clear" w:color="auto" w:fill="FFFFFF"/>
        </w:rPr>
        <w:t xml:space="preserve"> </w:t>
      </w:r>
      <w:r w:rsidR="0000277E" w:rsidRPr="00153535">
        <w:rPr>
          <w:rFonts w:ascii="Arial Nova Light" w:eastAsiaTheme="minorEastAsia" w:hAnsi="Arial Nova Light" w:cs="Times New Roman"/>
        </w:rPr>
        <w:t>Kukurydza charakteryzuje się najwyższą światową produkcją i konsumpcją wynoszącą 1207 mln Mg (dane za lata 2021/2022</w:t>
      </w:r>
      <w:r w:rsidR="0000277E" w:rsidRPr="00153535">
        <w:rPr>
          <w:rFonts w:ascii="Arial Nova Light" w:hAnsi="Arial Nova Light" w:cs="Times New Roman"/>
        </w:rPr>
        <w:fldChar w:fldCharType="begin"/>
      </w:r>
      <w:r w:rsidR="00986600">
        <w:rPr>
          <w:rFonts w:ascii="Arial Nova Light" w:hAnsi="Arial Nova Light" w:cs="Times New Roman"/>
        </w:rPr>
        <w:instrText xml:space="preserve"> ADDIN ZOTERO_ITEM CSL_CITATION {"citationID":"9YuIk5Y1","properties":{"formattedCitation":"\\super 2\\nosupersub{}","plainCitation":"2","noteIndex":0},"citationItems":[{"id":19879,"uris":["http://zotero.org/users/4502582/items/RHRUET9Z"],"itemData":{"id":19879,"type":"webpage","abstract":"This statistic shows the worldwide production of grain in 2021/22, sorted by type.","container-title":"Statista","language":"en","title":"Grain production worldwide by type 2021/22","URL":"https://www.statista.com/statistics/263977/world-grain-production-by-type/","accessed":{"date-parts":[["2022",6,14]]}}}],"schema":"https://github.com/citation-style-language/schema/raw/master/csl-citation.json"} </w:instrText>
      </w:r>
      <w:r w:rsidR="0000277E" w:rsidRPr="00153535">
        <w:rPr>
          <w:rFonts w:ascii="Arial Nova Light" w:hAnsi="Arial Nova Light" w:cs="Times New Roman"/>
        </w:rPr>
        <w:fldChar w:fldCharType="separate"/>
      </w:r>
      <w:r w:rsidR="00986600" w:rsidRPr="00986600">
        <w:rPr>
          <w:rFonts w:ascii="Arial Nova Light" w:hAnsi="Arial Nova Light" w:cs="Times New Roman"/>
          <w:kern w:val="0"/>
          <w:vertAlign w:val="superscript"/>
        </w:rPr>
        <w:t>2</w:t>
      </w:r>
      <w:r w:rsidR="0000277E" w:rsidRPr="00153535">
        <w:rPr>
          <w:rFonts w:ascii="Arial Nova Light" w:hAnsi="Arial Nova Light" w:cs="Times New Roman"/>
        </w:rPr>
        <w:fldChar w:fldCharType="end"/>
      </w:r>
      <w:r w:rsidR="0000277E" w:rsidRPr="00153535">
        <w:rPr>
          <w:rFonts w:ascii="Arial Nova Light" w:eastAsiaTheme="minorEastAsia" w:hAnsi="Arial Nova Light" w:cs="Times New Roman"/>
        </w:rPr>
        <w:t>) a jej ziarna wykorzystuje się w całości, a także przetwarza na skrobię, olej, mąkę</w:t>
      </w:r>
      <w:r w:rsidR="0000277E" w:rsidRPr="00153535">
        <w:rPr>
          <w:rFonts w:ascii="Arial Nova Light" w:eastAsiaTheme="minorEastAsia" w:hAnsi="Arial Nova Light" w:cs="Times New Roman"/>
        </w:rPr>
        <w:fldChar w:fldCharType="begin"/>
      </w:r>
      <w:r w:rsidR="00986600">
        <w:rPr>
          <w:rFonts w:ascii="Arial Nova Light" w:eastAsiaTheme="minorEastAsia" w:hAnsi="Arial Nova Light" w:cs="Times New Roman"/>
        </w:rPr>
        <w:instrText xml:space="preserve"> ADDIN ZOTERO_ITEM CSL_CITATION {"citationID":"uypLGe3k","properties":{"formattedCitation":"\\super 3\\nosupersub{}","plainCitation":"3","noteIndex":0},"citationItems":[{"id":20639,"uris":["http://zotero.org/users/4502582/items/3SACXS8J"],"itemData":{"id":20639,"type":"article-journal","abstract":"As an important food crop, corn has an important impact on people’s lives. The processing of corn produces many by-products, such as corn gluten meal, corn husk, and corn steep liquor, which are rich in protein, oil, carbohydrates, and other nutrients, all of which are inexpensive. Their accumulation in large quantities during the production process not only results in a burden on the environment but also the loss of potentially valuable food materials that can be processed. In fact, the by-products of corn processing have been partially used in functional foods, nutrients, feed, and other industries. There is no doubt that the secondary utilization of these by-products can not only solve the problem of waste pollution caused by them, but also produce high value-added products and improve the economic benefits of corn. This paper describes in detail the processing and higher-value utilization of the five main by-products: corn gluten meal, corn husks, corn steep liquor, corn germ, and fuel ethanol by-product. The utilization status of corn processing by-products was discussed roundly, and the development trend of corn processing by-products in China and other countries was analyzed, which provided the reference for the development of the corn deep processing industry.","container-title":"Foods","DOI":"10.3390/foods11223709","ISSN":"2304-8158","issue":"22","language":"en","license":"http://creativecommons.org/licenses/by/3.0/","note":"number: 22\npublisher: Multidisciplinary Digital Publishing Institute","page":"3709","source":"www.mdpi.com","title":"Development and Utilization of Corn Processing by-Products: A Review","title-short":"Development and Utilization of Corn Processing by-Products","volume":"11","author":[{"family":"Jiao","given":"Yan"},{"family":"Chen","given":"Hao-Dong"},{"family":"Han","given":"He"},{"family":"Chang","given":"Ying"}],"issued":{"date-parts":[["2022",1]]}}}],"schema":"https://github.com/citation-style-language/schema/raw/master/csl-citation.json"} </w:instrText>
      </w:r>
      <w:r w:rsidR="0000277E" w:rsidRPr="00153535">
        <w:rPr>
          <w:rFonts w:ascii="Arial Nova Light" w:eastAsiaTheme="minorEastAsia" w:hAnsi="Arial Nova Light" w:cs="Times New Roman"/>
        </w:rPr>
        <w:fldChar w:fldCharType="separate"/>
      </w:r>
      <w:r w:rsidR="00986600" w:rsidRPr="00986600">
        <w:rPr>
          <w:rFonts w:ascii="Arial Nova Light" w:hAnsi="Arial Nova Light" w:cs="Times New Roman"/>
          <w:kern w:val="0"/>
          <w:vertAlign w:val="superscript"/>
        </w:rPr>
        <w:t>3</w:t>
      </w:r>
      <w:r w:rsidR="0000277E" w:rsidRPr="00153535">
        <w:rPr>
          <w:rFonts w:ascii="Arial Nova Light" w:eastAsiaTheme="minorEastAsia" w:hAnsi="Arial Nova Light" w:cs="Times New Roman"/>
        </w:rPr>
        <w:fldChar w:fldCharType="end"/>
      </w:r>
      <w:r w:rsidR="0000277E" w:rsidRPr="00153535">
        <w:rPr>
          <w:rFonts w:ascii="Arial Nova Light" w:eastAsiaTheme="minorEastAsia" w:hAnsi="Arial Nova Light" w:cs="Times New Roman"/>
        </w:rPr>
        <w:t>. Drugim ważnym ziarnem jest ryż będący źródłem pożywienia dla prawie jednej trzeciej światowej populacji a jego globalną produkcję szacuje się na 760 mln t (dane za 2021 rok)</w:t>
      </w:r>
      <w:r w:rsidR="0000277E" w:rsidRPr="00153535">
        <w:rPr>
          <w:rFonts w:ascii="Arial Nova Light" w:eastAsiaTheme="minorEastAsia" w:hAnsi="Arial Nova Light" w:cs="Times New Roman"/>
        </w:rPr>
        <w:fldChar w:fldCharType="begin"/>
      </w:r>
      <w:r w:rsidR="00986600">
        <w:rPr>
          <w:rFonts w:ascii="Arial Nova Light" w:eastAsiaTheme="minorEastAsia" w:hAnsi="Arial Nova Light" w:cs="Times New Roman"/>
        </w:rPr>
        <w:instrText xml:space="preserve"> ADDIN ZOTERO_ITEM CSL_CITATION {"citationID":"azGSgtaw","properties":{"formattedCitation":"\\super 4\\nosupersub{}","plainCitation":"4","noteIndex":0},"citationItems":[{"id":19822,"uris":["http://zotero.org/users/4502582/items/JIU7ZF4Q"],"itemData":{"id":19822,"type":"article-journal","abstract":"Background\nRice is a staple food globally and plays a key role in the food system of many countries in the world. However, rice is prone to contamination by mycotoxins such as aflatoxins, fumonisins, ochratoxins, deoxynivalenol, zearalenone, citrinin, sterigmatocystin, cyclopiazonic acid, patulin, gliotoxin and trichothecenes. These mycotoxins are produced by fungi such as Aspergillus, Fusarium, and Penicillium during improper pre-and post-harvest handling and propose an economic public health challenge. Mycotoxin contamination of rice has huge economic and public health implications as it affects health, compromises food safety, and reduces food quality.\nScope and approach\nThis review gives insight into recent findings on mycotoxin detection techniques, sustainable decontamination methods of fungi and mycotoxins, mechanisms of action of these decontamination methods, and their effects on the functional, sensory, and sensory, the nutritional quality of rice.\nKey findings and conclusion\nLC/MS, LC/MS/MS, immunochemical methods, NIR, FTIR, Surface-enhanced Raman spectroscopy, ELISA and electronic nose are among the techniques used for the qualitative-quantitative analysis of mycotoxins in cereals. In addition, decontamination strategies such as microwave, pulsed light, ozone, cold plasma, irradiation, use of plant antifungal metabolites and microbial biocontrol are increasingly becoming popular because they are effective, scalable, considered ‘green’ and sustainable, and have little or no effect on the functional, sensory and nutritional quality of rice. Future research should be focused on the development of a combination of treatments to improve the effectiveness and application of these technologies at an industrial scale.","container-title":"Trends in Food Science &amp; Technology","DOI":"10.1016/j.tifs.2022.04.020","ISSN":"0924-2244","journalAbbreviation":"Trends in Food Science &amp; Technology","language":"en","page":"278-295","source":"ScienceDirect","title":"Green and sustainable technologies for the decontamination of fungi and mycotoxins in rice: A review","title-short":"Green and sustainable technologies for the decontamination of fungi and mycotoxins in rice","volume":"124","author":[{"family":"Chandravarnan","given":"Priyanthi"},{"family":"Agyei","given":"Dominic"},{"family":"Ali","given":"Azam"}],"issued":{"date-parts":[["2022",6,1]]}}}],"schema":"https://github.com/citation-style-language/schema/raw/master/csl-citation.json"} </w:instrText>
      </w:r>
      <w:r w:rsidR="0000277E" w:rsidRPr="00153535">
        <w:rPr>
          <w:rFonts w:ascii="Arial Nova Light" w:eastAsiaTheme="minorEastAsia" w:hAnsi="Arial Nova Light" w:cs="Times New Roman"/>
        </w:rPr>
        <w:fldChar w:fldCharType="separate"/>
      </w:r>
      <w:r w:rsidR="00986600" w:rsidRPr="00986600">
        <w:rPr>
          <w:rFonts w:ascii="Arial Nova Light" w:hAnsi="Arial Nova Light" w:cs="Times New Roman"/>
          <w:kern w:val="0"/>
          <w:vertAlign w:val="superscript"/>
        </w:rPr>
        <w:t>4</w:t>
      </w:r>
      <w:r w:rsidR="0000277E" w:rsidRPr="00153535">
        <w:rPr>
          <w:rFonts w:ascii="Arial Nova Light" w:eastAsiaTheme="minorEastAsia" w:hAnsi="Arial Nova Light" w:cs="Times New Roman"/>
        </w:rPr>
        <w:fldChar w:fldCharType="end"/>
      </w:r>
      <w:r w:rsidR="0000277E" w:rsidRPr="00153535">
        <w:rPr>
          <w:rFonts w:ascii="Arial Nova Light" w:eastAsiaTheme="minorEastAsia" w:hAnsi="Arial Nova Light" w:cs="Times New Roman"/>
        </w:rPr>
        <w:t xml:space="preserve">. </w:t>
      </w:r>
      <w:r w:rsidR="00680851" w:rsidRPr="00153535">
        <w:rPr>
          <w:rFonts w:ascii="Arial Nova Light" w:eastAsiaTheme="minorEastAsia" w:hAnsi="Arial Nova Light" w:cs="Times New Roman"/>
        </w:rPr>
        <w:t xml:space="preserve">Podczas procesów przetwórczych, takich jak: zbiór, transport, omłot, łuskanie, suszenie, przechowywanie, mielenie, ekstrakcja i wiele innych dochodzi do mechanicznych uszkodzeń ziaren zbóż. </w:t>
      </w:r>
      <w:r w:rsidR="00681270" w:rsidRPr="00153535">
        <w:rPr>
          <w:rFonts w:ascii="Arial Nova Light" w:hAnsi="Arial Nova Light" w:cs="Arial"/>
          <w:color w:val="212529"/>
          <w:shd w:val="clear" w:color="auto" w:fill="FFFFFF"/>
        </w:rPr>
        <w:t xml:space="preserve">Pękanie ziarna podczas zbioru i obróbki jest niepożądane i prowadzi do pogorszenia </w:t>
      </w:r>
      <w:r w:rsidR="00680851" w:rsidRPr="00153535">
        <w:rPr>
          <w:rFonts w:ascii="Arial Nova Light" w:hAnsi="Arial Nova Light" w:cs="Arial"/>
          <w:color w:val="212529"/>
          <w:shd w:val="clear" w:color="auto" w:fill="FFFFFF"/>
        </w:rPr>
        <w:t xml:space="preserve">jego </w:t>
      </w:r>
      <w:r w:rsidR="00681270" w:rsidRPr="00153535">
        <w:rPr>
          <w:rFonts w:ascii="Arial Nova Light" w:hAnsi="Arial Nova Light" w:cs="Arial"/>
          <w:color w:val="212529"/>
          <w:shd w:val="clear" w:color="auto" w:fill="FFFFFF"/>
        </w:rPr>
        <w:t>jakości. Zakłada się, że podczas tych operacji traci się nawet 20-25% światowych plonów</w:t>
      </w:r>
      <w:r w:rsidR="00323EFD" w:rsidRPr="00E73511">
        <w:rPr>
          <w:rFonts w:ascii="Times New Roman" w:hAnsi="Times New Roman" w:cs="Times New Roman"/>
          <w:color w:val="000000" w:themeColor="text1"/>
          <w:lang w:val="en-US"/>
        </w:rPr>
        <w:fldChar w:fldCharType="begin"/>
      </w:r>
      <w:r w:rsidR="00323EFD">
        <w:rPr>
          <w:rFonts w:ascii="Times New Roman" w:hAnsi="Times New Roman" w:cs="Times New Roman"/>
          <w:color w:val="000000" w:themeColor="text1"/>
        </w:rPr>
        <w:instrText xml:space="preserve"> ADDIN ZOTERO_ITEM CSL_CITATION {"citationID":"51F9QLb9","properties":{"formattedCitation":"\\super 5\\nosupersub{}","plainCitation":"5","noteIndex":0},"citationItems":[{"id":20353,"uris":["http://zotero.org/users/4502582/items/EGG8MNIL"],"itemData":{"id":20353,"type":"article-journal","abstract":"Global grain production needs a significant increase in output in the coming decades in order to cover the food and feed consumption needs of mankind. As sustainability is the key factor in production, the authors investigate global grain production, the losses along the value chain, and future solutions. Global wheat, maize, rice, and soybean production peaked at 2.102 million tons (mt) of harvested grain in 2018. Pre-harvest losses due to diseases, animal pests, weeds, and abiotic stresses and harvest destroy yearly amount to about 35% of the total possible biological product of 3.153 mt, with 1051.5 mt being lost before harvest. The losses during harvest and storage through toxin contamination are responsible for 690 mt, with a total of 1.741 mt or 83% of the total newly stored grain. Limited cooperation can be experienced between scientific research, plant breeding, plant protection, agronomy, and society, and in addition, their interdependence is badly understood. Plant breeding can help to reduce a significant part of field loss up to 300 mt (diseases, toxins, water and heat stress) and up to 220 mt during storage (toxin contamination). The direct and indirect impact of pest management on production lead to huge grain losses. The main task is to reduce grain losses during production and storage and consumption. Better harvest and storage conditions could prevent losses of 420 mt. The education of farmers by adopting the vocational school system is a key issue in the prevention of grain loss. In addition, extension services should be created to demonstrate farmers crop management in practice. A 50% reduction of grain loss and waste along the value chain seems to be achievable for the feeding 3–4 billion more people in a sustainable way without raising genetic yields of crop cultivars.","container-title":"Sustainability","DOI":"10.3390/su12062342","ISSN":"2071-1050","issue":"6","language":"en","license":"http://creativecommons.org/licenses/by/3.0/","note":"number: 6\npublisher: Multidisciplinary Digital Publishing Institute","page":"2342","source":"www.mdpi.com","title":"Losses in the Grain Supply Chain: Causes and Solutions","title-short":"Losses in the Grain Supply Chain","volume":"12","author":[{"family":"Mesterházy","given":"Ákos"},{"family":"Oláh","given":"Judit"},{"family":"Popp","given":"József"}],"issued":{"date-parts":[["2020",1]]}}}],"schema":"https://github.com/citation-style-language/schema/raw/master/csl-citation.json"} </w:instrText>
      </w:r>
      <w:r w:rsidR="00323EFD" w:rsidRPr="00E73511">
        <w:rPr>
          <w:rFonts w:ascii="Times New Roman" w:hAnsi="Times New Roman" w:cs="Times New Roman"/>
          <w:color w:val="000000" w:themeColor="text1"/>
          <w:lang w:val="en-US"/>
        </w:rPr>
        <w:fldChar w:fldCharType="separate"/>
      </w:r>
      <w:r w:rsidR="00323EFD" w:rsidRPr="00323EFD">
        <w:rPr>
          <w:rFonts w:ascii="Times New Roman" w:hAnsi="Times New Roman" w:cs="Times New Roman"/>
          <w:kern w:val="0"/>
          <w:vertAlign w:val="superscript"/>
        </w:rPr>
        <w:t>5</w:t>
      </w:r>
      <w:r w:rsidR="00323EFD" w:rsidRPr="00E73511">
        <w:rPr>
          <w:rFonts w:ascii="Times New Roman" w:hAnsi="Times New Roman" w:cs="Times New Roman"/>
          <w:color w:val="000000" w:themeColor="text1"/>
          <w:lang w:val="en-US"/>
        </w:rPr>
        <w:fldChar w:fldCharType="end"/>
      </w:r>
      <w:r w:rsidR="00680851" w:rsidRPr="00153535">
        <w:rPr>
          <w:rFonts w:ascii="Arial Nova Light" w:hAnsi="Arial Nova Light" w:cs="Arial"/>
          <w:color w:val="212529"/>
          <w:shd w:val="clear" w:color="auto" w:fill="FFFFFF"/>
        </w:rPr>
        <w:t xml:space="preserve">. </w:t>
      </w:r>
      <w:r w:rsidR="00681270" w:rsidRPr="00153535">
        <w:rPr>
          <w:rFonts w:ascii="Arial Nova Light" w:hAnsi="Arial Nova Light" w:cs="Arial"/>
          <w:color w:val="212529"/>
          <w:shd w:val="clear" w:color="auto" w:fill="FFFFFF"/>
        </w:rPr>
        <w:t xml:space="preserve">W przypadku procesów typu mielenie, ekstrakcja i tym podobnych, pierwotnym zjawiskiem stanowiącym główny cel procesu jest </w:t>
      </w:r>
      <w:r w:rsidR="00680851" w:rsidRPr="00153535">
        <w:rPr>
          <w:rFonts w:ascii="Arial Nova Light" w:hAnsi="Arial Nova Light" w:cs="Arial"/>
          <w:color w:val="212529"/>
          <w:shd w:val="clear" w:color="auto" w:fill="FFFFFF"/>
        </w:rPr>
        <w:t>rozdrobnienie</w:t>
      </w:r>
      <w:r w:rsidR="00681270" w:rsidRPr="00153535">
        <w:rPr>
          <w:rFonts w:ascii="Arial Nova Light" w:hAnsi="Arial Nova Light" w:cs="Arial"/>
          <w:color w:val="212529"/>
          <w:shd w:val="clear" w:color="auto" w:fill="FFFFFF"/>
        </w:rPr>
        <w:t>. Do chwili obecnej nie opisano w pełni mechanizmów</w:t>
      </w:r>
      <w:r w:rsidR="00680851" w:rsidRPr="00153535">
        <w:rPr>
          <w:rFonts w:ascii="Arial Nova Light" w:hAnsi="Arial Nova Light" w:cs="Arial"/>
          <w:color w:val="212529"/>
          <w:shd w:val="clear" w:color="auto" w:fill="FFFFFF"/>
        </w:rPr>
        <w:t xml:space="preserve"> rozdrabniania i zależności w łańcuchu relacji ziarno-maszyna-proces. </w:t>
      </w:r>
      <w:r w:rsidR="00681270" w:rsidRPr="00153535">
        <w:rPr>
          <w:rFonts w:ascii="Arial Nova Light" w:hAnsi="Arial Nova Light" w:cs="Arial"/>
          <w:color w:val="212529"/>
          <w:shd w:val="clear" w:color="auto" w:fill="FFFFFF"/>
        </w:rPr>
        <w:t xml:space="preserve">Aby poprawić </w:t>
      </w:r>
      <w:r w:rsidR="00680851" w:rsidRPr="00153535">
        <w:rPr>
          <w:rFonts w:ascii="Arial Nova Light" w:hAnsi="Arial Nova Light" w:cs="Arial"/>
          <w:color w:val="212529"/>
          <w:shd w:val="clear" w:color="auto" w:fill="FFFFFF"/>
        </w:rPr>
        <w:t>jakość i efektywność procesów i maszyn przetwórczych (ograniczyć niepożądane pękanie</w:t>
      </w:r>
      <w:r w:rsidR="00917E4F" w:rsidRPr="00153535">
        <w:rPr>
          <w:rFonts w:ascii="Arial Nova Light" w:hAnsi="Arial Nova Light" w:cs="Arial"/>
          <w:color w:val="212529"/>
          <w:shd w:val="clear" w:color="auto" w:fill="FFFFFF"/>
        </w:rPr>
        <w:t>, zwiększyć efektywność i wydajność procesów celowego rozdrabniania</w:t>
      </w:r>
      <w:r w:rsidR="00680851" w:rsidRPr="00153535">
        <w:rPr>
          <w:rFonts w:ascii="Arial Nova Light" w:hAnsi="Arial Nova Light" w:cs="Arial"/>
          <w:color w:val="212529"/>
          <w:shd w:val="clear" w:color="auto" w:fill="FFFFFF"/>
        </w:rPr>
        <w:t xml:space="preserve">) </w:t>
      </w:r>
      <w:r w:rsidR="00681270" w:rsidRPr="00153535">
        <w:rPr>
          <w:rFonts w:ascii="Arial Nova Light" w:hAnsi="Arial Nova Light" w:cs="Arial"/>
          <w:color w:val="212529"/>
          <w:shd w:val="clear" w:color="auto" w:fill="FFFFFF"/>
        </w:rPr>
        <w:t xml:space="preserve">konieczne jest zbadanie mechanizmów </w:t>
      </w:r>
      <w:r w:rsidR="00680851" w:rsidRPr="00153535">
        <w:rPr>
          <w:rFonts w:ascii="Arial Nova Light" w:hAnsi="Arial Nova Light" w:cs="Arial"/>
          <w:color w:val="212529"/>
          <w:shd w:val="clear" w:color="auto" w:fill="FFFFFF"/>
        </w:rPr>
        <w:t xml:space="preserve">rozdrabniania ziaren i czynników wywierających istotny wpływ na przebieg tego procesu. </w:t>
      </w:r>
      <w:r w:rsidR="00917E4F" w:rsidRPr="00153535">
        <w:rPr>
          <w:rFonts w:ascii="Arial Nova Light" w:hAnsi="Arial Nova Light" w:cs="Arial"/>
          <w:color w:val="212529"/>
          <w:shd w:val="clear" w:color="auto" w:fill="FFFFFF"/>
        </w:rPr>
        <w:t xml:space="preserve">Celem prezentowanych badań </w:t>
      </w:r>
      <w:r w:rsidR="00917E4F" w:rsidRPr="00153535">
        <w:rPr>
          <w:rFonts w:ascii="Arial Nova Light" w:hAnsi="Arial Nova Light"/>
        </w:rPr>
        <w:t>było zgłębienie wiedzy na temat czynników wpływających na prawdopodobieństwo i przebieg pękania ziaren zbóż na potrzeby modelowania i optymalizacji procesów przetwórczych i cech konstrukcyjnych maszyn. Na przykładzie ziaren ryżu i kukurydzy określono wpływ wybranych czynników materiałowych (wilgotności, wielkości ziarna w kierunku obciążenia, struktury wewnętrznej) i maszynowych (prędkości i krotności obciążeń, liczby ziaren, sił obciążających) na prawdopodobieństwo i przebieg procesu rozdrabniania ziaren.</w:t>
      </w:r>
      <w:r w:rsidR="00153535" w:rsidRPr="00153535">
        <w:rPr>
          <w:rFonts w:ascii="Arial Nova Light" w:hAnsi="Arial Nova Light"/>
        </w:rPr>
        <w:t xml:space="preserve"> Opracowano zależności pozwalające na zrozumienie mechanizmów rozdrabniania ziaren zbóż podczas operacji przetwórczych, które stanowią podstawę do wyprowadzenia mechanistycznego modelu rozdrabniania niezbędnego w projektowaniu </w:t>
      </w:r>
      <w:proofErr w:type="spellStart"/>
      <w:r w:rsidR="00153535" w:rsidRPr="00153535">
        <w:rPr>
          <w:rFonts w:ascii="Arial Nova Light" w:hAnsi="Arial Nova Light"/>
        </w:rPr>
        <w:t>niskoodpadowych</w:t>
      </w:r>
      <w:proofErr w:type="spellEnd"/>
      <w:r w:rsidR="00153535" w:rsidRPr="00153535">
        <w:rPr>
          <w:rFonts w:ascii="Arial Nova Light" w:hAnsi="Arial Nova Light"/>
        </w:rPr>
        <w:t xml:space="preserve"> i wysokowydajnych urządzeń. W szerszym kontekście osiągnięcia w zakresie doskonalenia procesów przetwórczych będą prowadzić do: redukcji emisji gazów cieplarnianych powstających w odpadach, ograniczenia ubóstwa żywnościowego oraz realizacji celu 12 Agendy na rzecz Zrównoważonego Rozwoju 2030 poprzez zaproponowanie modelu przydatnego w konstrukcji maszyn, pozwalającego na redukcję </w:t>
      </w:r>
      <w:r w:rsidR="00B13C9E">
        <w:rPr>
          <w:rFonts w:ascii="Arial Nova Light" w:hAnsi="Arial Nova Light"/>
        </w:rPr>
        <w:t xml:space="preserve">start ziaren </w:t>
      </w:r>
      <w:r w:rsidR="00153535" w:rsidRPr="00153535">
        <w:rPr>
          <w:rFonts w:ascii="Arial Nova Light" w:hAnsi="Arial Nova Light"/>
        </w:rPr>
        <w:t>podczas przetwarzania oraz wzrost wydajności procesów rozdrabniania i ekstrakcji.</w:t>
      </w:r>
    </w:p>
    <w:p w14:paraId="3D97FEEC" w14:textId="77777777" w:rsidR="00596CEE" w:rsidRDefault="00596CEE" w:rsidP="00153535">
      <w:pPr>
        <w:jc w:val="both"/>
        <w:rPr>
          <w:rFonts w:ascii="Arial Nova Light" w:hAnsi="Arial Nova Light"/>
        </w:rPr>
      </w:pPr>
    </w:p>
    <w:p w14:paraId="48EDEAD7" w14:textId="77777777" w:rsidR="00596CEE" w:rsidRPr="00153535" w:rsidRDefault="00596CEE" w:rsidP="00153535">
      <w:pPr>
        <w:jc w:val="both"/>
        <w:rPr>
          <w:rFonts w:ascii="Arial Nova Light" w:hAnsi="Arial Nova Light"/>
        </w:rPr>
      </w:pPr>
    </w:p>
    <w:p w14:paraId="5B637AEC" w14:textId="77777777" w:rsidR="00323EFD" w:rsidRPr="00596CEE" w:rsidRDefault="00986600" w:rsidP="00323EFD">
      <w:pPr>
        <w:pStyle w:val="Bibliografia"/>
        <w:rPr>
          <w:rFonts w:ascii="Arial Nova Light" w:hAnsi="Arial Nova Light" w:cs="Arial"/>
          <w:sz w:val="16"/>
          <w:szCs w:val="16"/>
        </w:rPr>
      </w:pPr>
      <w:r w:rsidRPr="00596CEE">
        <w:rPr>
          <w:rFonts w:ascii="Arial Nova Light" w:hAnsi="Arial Nova Light" w:cs="Arial"/>
          <w:b/>
          <w:bCs/>
          <w:color w:val="212529"/>
          <w:sz w:val="16"/>
          <w:szCs w:val="16"/>
          <w:shd w:val="clear" w:color="auto" w:fill="FFFFFF"/>
          <w:lang w:val="en-US"/>
        </w:rPr>
        <w:fldChar w:fldCharType="begin"/>
      </w:r>
      <w:r w:rsidR="00323EFD" w:rsidRPr="00596CEE">
        <w:rPr>
          <w:rFonts w:ascii="Arial Nova Light" w:hAnsi="Arial Nova Light" w:cs="Arial"/>
          <w:b/>
          <w:bCs/>
          <w:color w:val="212529"/>
          <w:sz w:val="16"/>
          <w:szCs w:val="16"/>
          <w:shd w:val="clear" w:color="auto" w:fill="FFFFFF"/>
        </w:rPr>
        <w:instrText xml:space="preserve"> ADDIN ZOTERO_BIBL {"uncited":[],"omitted":[],"custom":[]} CSL_BIBLIOGRAPHY </w:instrText>
      </w:r>
      <w:r w:rsidRPr="00596CEE">
        <w:rPr>
          <w:rFonts w:ascii="Arial Nova Light" w:hAnsi="Arial Nova Light" w:cs="Arial"/>
          <w:b/>
          <w:bCs/>
          <w:color w:val="212529"/>
          <w:sz w:val="16"/>
          <w:szCs w:val="16"/>
          <w:shd w:val="clear" w:color="auto" w:fill="FFFFFF"/>
          <w:lang w:val="en-US"/>
        </w:rPr>
        <w:fldChar w:fldCharType="separate"/>
      </w:r>
      <w:r w:rsidR="00323EFD" w:rsidRPr="00596CEE">
        <w:rPr>
          <w:rFonts w:ascii="Arial Nova Light" w:hAnsi="Arial Nova Light" w:cs="Arial"/>
          <w:sz w:val="16"/>
          <w:szCs w:val="16"/>
        </w:rPr>
        <w:t>(1)</w:t>
      </w:r>
      <w:r w:rsidR="00323EFD" w:rsidRPr="00596CEE">
        <w:rPr>
          <w:rFonts w:ascii="Arial Nova Light" w:hAnsi="Arial Nova Light" w:cs="Arial"/>
          <w:sz w:val="16"/>
          <w:szCs w:val="16"/>
        </w:rPr>
        <w:tab/>
      </w:r>
      <w:r w:rsidR="00323EFD" w:rsidRPr="00596CEE">
        <w:rPr>
          <w:rFonts w:ascii="Arial Nova Light" w:hAnsi="Arial Nova Light" w:cs="Arial"/>
          <w:i/>
          <w:iCs/>
          <w:sz w:val="16"/>
          <w:szCs w:val="16"/>
        </w:rPr>
        <w:t>Globalny rynek zbóż i nasion oleistych - listopad 2023 – Agronomist</w:t>
      </w:r>
      <w:r w:rsidR="00323EFD" w:rsidRPr="00596CEE">
        <w:rPr>
          <w:rFonts w:ascii="Arial Nova Light" w:hAnsi="Arial Nova Light" w:cs="Arial"/>
          <w:sz w:val="16"/>
          <w:szCs w:val="16"/>
        </w:rPr>
        <w:t>. https://agronomist.pl/artykuly/globalny-rynek-zboz-i-nasion-oleistych-listopad-2023 (accessed 2024-03-20).</w:t>
      </w:r>
    </w:p>
    <w:p w14:paraId="126F84EE" w14:textId="77777777" w:rsidR="00323EFD" w:rsidRPr="00596CEE" w:rsidRDefault="00323EFD" w:rsidP="00323EFD">
      <w:pPr>
        <w:pStyle w:val="Bibliografia"/>
        <w:rPr>
          <w:rFonts w:ascii="Arial Nova Light" w:hAnsi="Arial Nova Light" w:cs="Arial"/>
          <w:sz w:val="16"/>
          <w:szCs w:val="16"/>
          <w:lang w:val="en-US"/>
        </w:rPr>
      </w:pPr>
      <w:r w:rsidRPr="00596CEE">
        <w:rPr>
          <w:rFonts w:ascii="Arial Nova Light" w:hAnsi="Arial Nova Light" w:cs="Arial"/>
          <w:sz w:val="16"/>
          <w:szCs w:val="16"/>
          <w:lang w:val="en-US"/>
        </w:rPr>
        <w:t>(2)</w:t>
      </w:r>
      <w:r w:rsidRPr="00596CEE">
        <w:rPr>
          <w:rFonts w:ascii="Arial Nova Light" w:hAnsi="Arial Nova Light" w:cs="Arial"/>
          <w:sz w:val="16"/>
          <w:szCs w:val="16"/>
          <w:lang w:val="en-US"/>
        </w:rPr>
        <w:tab/>
      </w:r>
      <w:r w:rsidRPr="00596CEE">
        <w:rPr>
          <w:rFonts w:ascii="Arial Nova Light" w:hAnsi="Arial Nova Light" w:cs="Arial"/>
          <w:i/>
          <w:iCs/>
          <w:sz w:val="16"/>
          <w:szCs w:val="16"/>
          <w:lang w:val="en-US"/>
        </w:rPr>
        <w:t>Grain production worldwide by type 2021/22</w:t>
      </w:r>
      <w:r w:rsidRPr="00596CEE">
        <w:rPr>
          <w:rFonts w:ascii="Arial Nova Light" w:hAnsi="Arial Nova Light" w:cs="Arial"/>
          <w:sz w:val="16"/>
          <w:szCs w:val="16"/>
          <w:lang w:val="en-US"/>
        </w:rPr>
        <w:t>. Statista. https://www.statista.com/statistics/263977/world-grain-production-by-type/ (accessed 2022-06-14).</w:t>
      </w:r>
    </w:p>
    <w:p w14:paraId="5B4B6617" w14:textId="77777777" w:rsidR="00323EFD" w:rsidRPr="00596CEE" w:rsidRDefault="00323EFD" w:rsidP="00323EFD">
      <w:pPr>
        <w:pStyle w:val="Bibliografia"/>
        <w:rPr>
          <w:rFonts w:ascii="Arial Nova Light" w:hAnsi="Arial Nova Light" w:cs="Arial"/>
          <w:sz w:val="16"/>
          <w:szCs w:val="16"/>
          <w:lang w:val="en-US"/>
        </w:rPr>
      </w:pPr>
      <w:r w:rsidRPr="00596CEE">
        <w:rPr>
          <w:rFonts w:ascii="Arial Nova Light" w:hAnsi="Arial Nova Light" w:cs="Arial"/>
          <w:sz w:val="16"/>
          <w:szCs w:val="16"/>
          <w:lang w:val="en-US"/>
        </w:rPr>
        <w:t>(3)</w:t>
      </w:r>
      <w:r w:rsidRPr="00596CEE">
        <w:rPr>
          <w:rFonts w:ascii="Arial Nova Light" w:hAnsi="Arial Nova Light" w:cs="Arial"/>
          <w:sz w:val="16"/>
          <w:szCs w:val="16"/>
          <w:lang w:val="en-US"/>
        </w:rPr>
        <w:tab/>
        <w:t xml:space="preserve">Jiao, Y.; Chen, H.-D.; Han, H.; Chang, Y. Development and Utilization of Corn Processing By-Products: A Review. </w:t>
      </w:r>
      <w:r w:rsidRPr="00596CEE">
        <w:rPr>
          <w:rFonts w:ascii="Arial Nova Light" w:hAnsi="Arial Nova Light" w:cs="Arial"/>
          <w:i/>
          <w:iCs/>
          <w:sz w:val="16"/>
          <w:szCs w:val="16"/>
          <w:lang w:val="en-US"/>
        </w:rPr>
        <w:t>Foods</w:t>
      </w:r>
      <w:r w:rsidRPr="00596CEE">
        <w:rPr>
          <w:rFonts w:ascii="Arial Nova Light" w:hAnsi="Arial Nova Light" w:cs="Arial"/>
          <w:sz w:val="16"/>
          <w:szCs w:val="16"/>
          <w:lang w:val="en-US"/>
        </w:rPr>
        <w:t xml:space="preserve"> </w:t>
      </w:r>
      <w:r w:rsidRPr="00596CEE">
        <w:rPr>
          <w:rFonts w:ascii="Arial Nova Light" w:hAnsi="Arial Nova Light" w:cs="Arial"/>
          <w:b/>
          <w:bCs/>
          <w:sz w:val="16"/>
          <w:szCs w:val="16"/>
          <w:lang w:val="en-US"/>
        </w:rPr>
        <w:t>2022</w:t>
      </w:r>
      <w:r w:rsidRPr="00596CEE">
        <w:rPr>
          <w:rFonts w:ascii="Arial Nova Light" w:hAnsi="Arial Nova Light" w:cs="Arial"/>
          <w:sz w:val="16"/>
          <w:szCs w:val="16"/>
          <w:lang w:val="en-US"/>
        </w:rPr>
        <w:t xml:space="preserve">, </w:t>
      </w:r>
      <w:r w:rsidRPr="00596CEE">
        <w:rPr>
          <w:rFonts w:ascii="Arial Nova Light" w:hAnsi="Arial Nova Light" w:cs="Arial"/>
          <w:i/>
          <w:iCs/>
          <w:sz w:val="16"/>
          <w:szCs w:val="16"/>
          <w:lang w:val="en-US"/>
        </w:rPr>
        <w:t>11</w:t>
      </w:r>
      <w:r w:rsidRPr="00596CEE">
        <w:rPr>
          <w:rFonts w:ascii="Arial Nova Light" w:hAnsi="Arial Nova Light" w:cs="Arial"/>
          <w:sz w:val="16"/>
          <w:szCs w:val="16"/>
          <w:lang w:val="en-US"/>
        </w:rPr>
        <w:t xml:space="preserve"> (22), 3709. https://doi.org/10.3390/foods11223709.</w:t>
      </w:r>
    </w:p>
    <w:p w14:paraId="76987311" w14:textId="77777777" w:rsidR="00323EFD" w:rsidRPr="00596CEE" w:rsidRDefault="00323EFD" w:rsidP="00323EFD">
      <w:pPr>
        <w:pStyle w:val="Bibliografia"/>
        <w:rPr>
          <w:rFonts w:ascii="Arial Nova Light" w:hAnsi="Arial Nova Light" w:cs="Arial"/>
          <w:sz w:val="16"/>
          <w:szCs w:val="16"/>
          <w:lang w:val="en-US"/>
        </w:rPr>
      </w:pPr>
      <w:r w:rsidRPr="00596CEE">
        <w:rPr>
          <w:rFonts w:ascii="Arial Nova Light" w:hAnsi="Arial Nova Light" w:cs="Arial"/>
          <w:sz w:val="16"/>
          <w:szCs w:val="16"/>
          <w:lang w:val="en-US"/>
        </w:rPr>
        <w:t>(4)</w:t>
      </w:r>
      <w:r w:rsidRPr="00596CEE">
        <w:rPr>
          <w:rFonts w:ascii="Arial Nova Light" w:hAnsi="Arial Nova Light" w:cs="Arial"/>
          <w:sz w:val="16"/>
          <w:szCs w:val="16"/>
          <w:lang w:val="en-US"/>
        </w:rPr>
        <w:tab/>
        <w:t xml:space="preserve">Chandravarnan, P.; Agyei, D.; Ali, A. Green and Sustainable Technologies for the Decontamination of Fungi and Mycotoxins in Rice: A Review. </w:t>
      </w:r>
      <w:r w:rsidRPr="00596CEE">
        <w:rPr>
          <w:rFonts w:ascii="Arial Nova Light" w:hAnsi="Arial Nova Light" w:cs="Arial"/>
          <w:i/>
          <w:iCs/>
          <w:sz w:val="16"/>
          <w:szCs w:val="16"/>
          <w:lang w:val="en-US"/>
        </w:rPr>
        <w:t>Trends Food Sci. Technol.</w:t>
      </w:r>
      <w:r w:rsidRPr="00596CEE">
        <w:rPr>
          <w:rFonts w:ascii="Arial Nova Light" w:hAnsi="Arial Nova Light" w:cs="Arial"/>
          <w:sz w:val="16"/>
          <w:szCs w:val="16"/>
          <w:lang w:val="en-US"/>
        </w:rPr>
        <w:t xml:space="preserve"> </w:t>
      </w:r>
      <w:r w:rsidRPr="00596CEE">
        <w:rPr>
          <w:rFonts w:ascii="Arial Nova Light" w:hAnsi="Arial Nova Light" w:cs="Arial"/>
          <w:b/>
          <w:bCs/>
          <w:sz w:val="16"/>
          <w:szCs w:val="16"/>
          <w:lang w:val="en-US"/>
        </w:rPr>
        <w:t>2022</w:t>
      </w:r>
      <w:r w:rsidRPr="00596CEE">
        <w:rPr>
          <w:rFonts w:ascii="Arial Nova Light" w:hAnsi="Arial Nova Light" w:cs="Arial"/>
          <w:sz w:val="16"/>
          <w:szCs w:val="16"/>
          <w:lang w:val="en-US"/>
        </w:rPr>
        <w:t xml:space="preserve">, </w:t>
      </w:r>
      <w:r w:rsidRPr="00596CEE">
        <w:rPr>
          <w:rFonts w:ascii="Arial Nova Light" w:hAnsi="Arial Nova Light" w:cs="Arial"/>
          <w:i/>
          <w:iCs/>
          <w:sz w:val="16"/>
          <w:szCs w:val="16"/>
          <w:lang w:val="en-US"/>
        </w:rPr>
        <w:t>124</w:t>
      </w:r>
      <w:r w:rsidRPr="00596CEE">
        <w:rPr>
          <w:rFonts w:ascii="Arial Nova Light" w:hAnsi="Arial Nova Light" w:cs="Arial"/>
          <w:sz w:val="16"/>
          <w:szCs w:val="16"/>
          <w:lang w:val="en-US"/>
        </w:rPr>
        <w:t>, 278–295. https://doi.org/10.1016/j.tifs.2022.04.020.</w:t>
      </w:r>
    </w:p>
    <w:p w14:paraId="518356E6" w14:textId="77777777" w:rsidR="00323EFD" w:rsidRPr="00596CEE" w:rsidRDefault="00323EFD" w:rsidP="00323EFD">
      <w:pPr>
        <w:pStyle w:val="Bibliografia"/>
        <w:rPr>
          <w:rFonts w:ascii="Arial Nova Light" w:hAnsi="Arial Nova Light" w:cs="Arial"/>
          <w:sz w:val="16"/>
          <w:szCs w:val="16"/>
        </w:rPr>
      </w:pPr>
      <w:r w:rsidRPr="00596CEE">
        <w:rPr>
          <w:rFonts w:ascii="Arial Nova Light" w:hAnsi="Arial Nova Light" w:cs="Arial"/>
          <w:sz w:val="16"/>
          <w:szCs w:val="16"/>
          <w:lang w:val="en-US"/>
        </w:rPr>
        <w:t>(5)</w:t>
      </w:r>
      <w:r w:rsidRPr="00596CEE">
        <w:rPr>
          <w:rFonts w:ascii="Arial Nova Light" w:hAnsi="Arial Nova Light" w:cs="Arial"/>
          <w:sz w:val="16"/>
          <w:szCs w:val="16"/>
          <w:lang w:val="en-US"/>
        </w:rPr>
        <w:tab/>
        <w:t xml:space="preserve">Mesterházy, Á.; Oláh, J.; Popp, J. Losses in the Grain Supply Chain: Causes and Solutions. </w:t>
      </w:r>
      <w:r w:rsidRPr="00596CEE">
        <w:rPr>
          <w:rFonts w:ascii="Arial Nova Light" w:hAnsi="Arial Nova Light" w:cs="Arial"/>
          <w:i/>
          <w:iCs/>
          <w:sz w:val="16"/>
          <w:szCs w:val="16"/>
        </w:rPr>
        <w:t>Sustainability</w:t>
      </w:r>
      <w:r w:rsidRPr="00596CEE">
        <w:rPr>
          <w:rFonts w:ascii="Arial Nova Light" w:hAnsi="Arial Nova Light" w:cs="Arial"/>
          <w:sz w:val="16"/>
          <w:szCs w:val="16"/>
        </w:rPr>
        <w:t xml:space="preserve"> </w:t>
      </w:r>
      <w:r w:rsidRPr="00596CEE">
        <w:rPr>
          <w:rFonts w:ascii="Arial Nova Light" w:hAnsi="Arial Nova Light" w:cs="Arial"/>
          <w:b/>
          <w:bCs/>
          <w:sz w:val="16"/>
          <w:szCs w:val="16"/>
        </w:rPr>
        <w:t>2020</w:t>
      </w:r>
      <w:r w:rsidRPr="00596CEE">
        <w:rPr>
          <w:rFonts w:ascii="Arial Nova Light" w:hAnsi="Arial Nova Light" w:cs="Arial"/>
          <w:sz w:val="16"/>
          <w:szCs w:val="16"/>
        </w:rPr>
        <w:t xml:space="preserve">, </w:t>
      </w:r>
      <w:r w:rsidRPr="00596CEE">
        <w:rPr>
          <w:rFonts w:ascii="Arial Nova Light" w:hAnsi="Arial Nova Light" w:cs="Arial"/>
          <w:i/>
          <w:iCs/>
          <w:sz w:val="16"/>
          <w:szCs w:val="16"/>
        </w:rPr>
        <w:t>12</w:t>
      </w:r>
      <w:r w:rsidRPr="00596CEE">
        <w:rPr>
          <w:rFonts w:ascii="Arial Nova Light" w:hAnsi="Arial Nova Light" w:cs="Arial"/>
          <w:sz w:val="16"/>
          <w:szCs w:val="16"/>
        </w:rPr>
        <w:t xml:space="preserve"> (6), 2342. https://doi.org/10.3390/su12062342.</w:t>
      </w:r>
    </w:p>
    <w:p w14:paraId="735E11FE" w14:textId="77AEC48C" w:rsidR="00291C44" w:rsidRPr="00596CEE" w:rsidRDefault="00986600" w:rsidP="00596CEE">
      <w:pPr>
        <w:jc w:val="center"/>
        <w:rPr>
          <w:rFonts w:ascii="Arial" w:hAnsi="Arial" w:cs="Arial"/>
          <w:b/>
          <w:bCs/>
          <w:color w:val="212529"/>
          <w:sz w:val="27"/>
          <w:szCs w:val="27"/>
          <w:shd w:val="clear" w:color="auto" w:fill="FFFFFF"/>
          <w:lang w:val="en-US"/>
        </w:rPr>
      </w:pPr>
      <w:r w:rsidRPr="00596CEE">
        <w:rPr>
          <w:rFonts w:ascii="Arial Nova Light" w:hAnsi="Arial Nova Light" w:cs="Arial"/>
          <w:b/>
          <w:bCs/>
          <w:color w:val="212529"/>
          <w:sz w:val="16"/>
          <w:szCs w:val="16"/>
          <w:shd w:val="clear" w:color="auto" w:fill="FFFFFF"/>
          <w:lang w:val="en-US"/>
        </w:rPr>
        <w:fldChar w:fldCharType="end"/>
      </w:r>
    </w:p>
    <w:sectPr w:rsidR="00291C44" w:rsidRPr="00596CEE" w:rsidSect="006C707E">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A32DC"/>
    <w:multiLevelType w:val="hybridMultilevel"/>
    <w:tmpl w:val="742AF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C3739E"/>
    <w:multiLevelType w:val="hybridMultilevel"/>
    <w:tmpl w:val="2C3EC0C0"/>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BA"/>
    <w:rsid w:val="0000277E"/>
    <w:rsid w:val="00153535"/>
    <w:rsid w:val="001D78B0"/>
    <w:rsid w:val="00291C44"/>
    <w:rsid w:val="00323EFD"/>
    <w:rsid w:val="003900AB"/>
    <w:rsid w:val="003E4CEF"/>
    <w:rsid w:val="003E5BCA"/>
    <w:rsid w:val="0045161C"/>
    <w:rsid w:val="00596CEE"/>
    <w:rsid w:val="00680851"/>
    <w:rsid w:val="00681270"/>
    <w:rsid w:val="006C707E"/>
    <w:rsid w:val="00866FBA"/>
    <w:rsid w:val="00917E4F"/>
    <w:rsid w:val="00986600"/>
    <w:rsid w:val="00A35123"/>
    <w:rsid w:val="00AD13F6"/>
    <w:rsid w:val="00B13C9E"/>
    <w:rsid w:val="00B2631D"/>
    <w:rsid w:val="00B4369E"/>
    <w:rsid w:val="00BF3BDB"/>
    <w:rsid w:val="00C01A74"/>
    <w:rsid w:val="00F51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60AF"/>
  <w15:chartTrackingRefBased/>
  <w15:docId w15:val="{14878EBE-FB9A-4066-8107-FA853F3D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66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66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66F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66F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66F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66F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66F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66F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66F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6F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66F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66F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66F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66F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66F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66F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66F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66FBA"/>
    <w:rPr>
      <w:rFonts w:eastAsiaTheme="majorEastAsia" w:cstheme="majorBidi"/>
      <w:color w:val="272727" w:themeColor="text1" w:themeTint="D8"/>
    </w:rPr>
  </w:style>
  <w:style w:type="paragraph" w:styleId="Tytu">
    <w:name w:val="Title"/>
    <w:basedOn w:val="Normalny"/>
    <w:next w:val="Normalny"/>
    <w:link w:val="TytuZnak"/>
    <w:uiPriority w:val="10"/>
    <w:qFormat/>
    <w:rsid w:val="00866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6F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66F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66F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66FBA"/>
    <w:pPr>
      <w:spacing w:before="160"/>
      <w:jc w:val="center"/>
    </w:pPr>
    <w:rPr>
      <w:i/>
      <w:iCs/>
      <w:color w:val="404040" w:themeColor="text1" w:themeTint="BF"/>
    </w:rPr>
  </w:style>
  <w:style w:type="character" w:customStyle="1" w:styleId="CytatZnak">
    <w:name w:val="Cytat Znak"/>
    <w:basedOn w:val="Domylnaczcionkaakapitu"/>
    <w:link w:val="Cytat"/>
    <w:uiPriority w:val="29"/>
    <w:rsid w:val="00866FBA"/>
    <w:rPr>
      <w:i/>
      <w:iCs/>
      <w:color w:val="404040" w:themeColor="text1" w:themeTint="BF"/>
    </w:rPr>
  </w:style>
  <w:style w:type="paragraph" w:styleId="Akapitzlist">
    <w:name w:val="List Paragraph"/>
    <w:basedOn w:val="Normalny"/>
    <w:uiPriority w:val="34"/>
    <w:qFormat/>
    <w:rsid w:val="00866FBA"/>
    <w:pPr>
      <w:ind w:left="720"/>
      <w:contextualSpacing/>
    </w:pPr>
  </w:style>
  <w:style w:type="character" w:styleId="Wyrnienieintensywne">
    <w:name w:val="Intense Emphasis"/>
    <w:basedOn w:val="Domylnaczcionkaakapitu"/>
    <w:uiPriority w:val="21"/>
    <w:qFormat/>
    <w:rsid w:val="00866FBA"/>
    <w:rPr>
      <w:i/>
      <w:iCs/>
      <w:color w:val="0F4761" w:themeColor="accent1" w:themeShade="BF"/>
    </w:rPr>
  </w:style>
  <w:style w:type="paragraph" w:styleId="Cytatintensywny">
    <w:name w:val="Intense Quote"/>
    <w:basedOn w:val="Normalny"/>
    <w:next w:val="Normalny"/>
    <w:link w:val="CytatintensywnyZnak"/>
    <w:uiPriority w:val="30"/>
    <w:qFormat/>
    <w:rsid w:val="00866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66FBA"/>
    <w:rPr>
      <w:i/>
      <w:iCs/>
      <w:color w:val="0F4761" w:themeColor="accent1" w:themeShade="BF"/>
    </w:rPr>
  </w:style>
  <w:style w:type="character" w:styleId="Odwoanieintensywne">
    <w:name w:val="Intense Reference"/>
    <w:basedOn w:val="Domylnaczcionkaakapitu"/>
    <w:uiPriority w:val="32"/>
    <w:qFormat/>
    <w:rsid w:val="00866FBA"/>
    <w:rPr>
      <w:b/>
      <w:bCs/>
      <w:smallCaps/>
      <w:color w:val="0F4761" w:themeColor="accent1" w:themeShade="BF"/>
      <w:spacing w:val="5"/>
    </w:rPr>
  </w:style>
  <w:style w:type="paragraph" w:styleId="Bibliografia">
    <w:name w:val="Bibliography"/>
    <w:basedOn w:val="Normalny"/>
    <w:next w:val="Normalny"/>
    <w:uiPriority w:val="37"/>
    <w:unhideWhenUsed/>
    <w:rsid w:val="00986600"/>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1882</Words>
  <Characters>11297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Agnieszka Nawrocka</cp:lastModifiedBy>
  <cp:revision>2</cp:revision>
  <dcterms:created xsi:type="dcterms:W3CDTF">2024-03-21T08:07:00Z</dcterms:created>
  <dcterms:modified xsi:type="dcterms:W3CDTF">2024-03-21T08:07:00Z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id="FLCd8snL"/&gt;&lt;style id="http://www.zotero.org/styles/american-chemical-society"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ies>
</file>